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422" w:rsidRPr="00832AD7" w:rsidRDefault="002453CF" w:rsidP="00832AD7">
      <w:pPr>
        <w:spacing w:after="0" w:line="240" w:lineRule="auto"/>
        <w:rPr>
          <w:rFonts w:cs="David"/>
          <w:b/>
          <w:bCs/>
          <w:sz w:val="16"/>
          <w:szCs w:val="16"/>
          <w:rtl/>
        </w:rPr>
      </w:pPr>
      <w:bookmarkStart w:id="0" w:name="_GoBack"/>
      <w:bookmarkEnd w:id="0"/>
      <w:r w:rsidRPr="006C3B1F">
        <w:rPr>
          <w:rFonts w:cs="David" w:hint="cs"/>
          <w:b/>
          <w:bCs/>
          <w:sz w:val="24"/>
          <w:szCs w:val="24"/>
          <w:rtl/>
        </w:rPr>
        <w:t xml:space="preserve">                                 </w:t>
      </w:r>
      <w:r w:rsidR="006B7B96" w:rsidRPr="006C3B1F">
        <w:rPr>
          <w:rFonts w:cs="David" w:hint="cs"/>
          <w:b/>
          <w:bCs/>
          <w:sz w:val="24"/>
          <w:szCs w:val="24"/>
          <w:rtl/>
        </w:rPr>
        <w:t xml:space="preserve">           </w:t>
      </w:r>
      <w:r w:rsidR="00631744">
        <w:rPr>
          <w:rFonts w:cs="David" w:hint="cs"/>
          <w:b/>
          <w:bCs/>
          <w:sz w:val="24"/>
          <w:szCs w:val="24"/>
          <w:rtl/>
        </w:rPr>
        <w:t xml:space="preserve">           </w:t>
      </w:r>
      <w:r w:rsidR="006C3B1F">
        <w:rPr>
          <w:rFonts w:cs="David" w:hint="cs"/>
          <w:b/>
          <w:bCs/>
          <w:sz w:val="24"/>
          <w:szCs w:val="24"/>
          <w:rtl/>
        </w:rPr>
        <w:t xml:space="preserve">   </w:t>
      </w:r>
      <w:r w:rsidRPr="006C3B1F">
        <w:rPr>
          <w:rFonts w:cs="David" w:hint="cs"/>
          <w:b/>
          <w:bCs/>
          <w:sz w:val="24"/>
          <w:szCs w:val="24"/>
          <w:rtl/>
        </w:rPr>
        <w:t xml:space="preserve">  </w:t>
      </w:r>
      <w:r w:rsidR="001D42A7">
        <w:rPr>
          <w:rFonts w:hint="cs"/>
          <w:b/>
          <w:bCs/>
          <w:rtl/>
        </w:rPr>
        <w:t xml:space="preserve">  </w:t>
      </w:r>
    </w:p>
    <w:p w:rsidR="00983123" w:rsidRPr="00533226" w:rsidRDefault="00983123" w:rsidP="00392EB3">
      <w:pPr>
        <w:spacing w:after="0" w:line="240" w:lineRule="auto"/>
        <w:jc w:val="right"/>
        <w:rPr>
          <w:rFonts w:ascii="Times New Roman" w:eastAsia="Times New Roman" w:hAnsi="Times New Roman" w:cs="David"/>
          <w:sz w:val="18"/>
          <w:szCs w:val="18"/>
        </w:rPr>
      </w:pP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begin"/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instrText xml:space="preserve"> </w:instrText>
      </w:r>
      <w:r w:rsidRPr="00533226">
        <w:rPr>
          <w:rFonts w:ascii="Times New Roman" w:eastAsia="Times New Roman" w:hAnsi="Times New Roman" w:cs="David"/>
          <w:sz w:val="18"/>
          <w:szCs w:val="18"/>
        </w:rPr>
        <w:instrText>DOCPROPERTY  DocDateEng  \* MERGEFORMAT</w:instrTex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instrText xml:space="preserve"> </w:instrTex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separate"/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t>2</w:t>
      </w:r>
      <w:r w:rsidR="00392EB3">
        <w:rPr>
          <w:rFonts w:ascii="Times New Roman" w:eastAsia="Times New Roman" w:hAnsi="Times New Roman" w:cs="David" w:hint="eastAsia"/>
          <w:sz w:val="18"/>
          <w:szCs w:val="18"/>
          <w:rtl/>
        </w:rPr>
        <w:t>‏</w:t>
      </w:r>
      <w:r w:rsidR="00392EB3">
        <w:rPr>
          <w:rFonts w:ascii="Times New Roman" w:eastAsia="Times New Roman" w:hAnsi="Times New Roman" w:cs="David"/>
          <w:sz w:val="18"/>
          <w:szCs w:val="18"/>
          <w:rtl/>
        </w:rPr>
        <w:t>26 נובמבר 2023</w: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end"/>
      </w:r>
    </w:p>
    <w:p w:rsidR="00392EB3" w:rsidRDefault="00392EB3" w:rsidP="00C80EEA">
      <w:pPr>
        <w:spacing w:after="0" w:line="240" w:lineRule="auto"/>
        <w:jc w:val="right"/>
        <w:rPr>
          <w:rFonts w:ascii="Times New Roman" w:eastAsia="Times New Roman" w:hAnsi="Times New Roman" w:cs="David"/>
          <w:sz w:val="18"/>
          <w:szCs w:val="18"/>
          <w:rtl/>
        </w:rPr>
      </w:pPr>
      <w:r>
        <w:rPr>
          <w:rFonts w:ascii="Times New Roman" w:eastAsia="Times New Roman" w:hAnsi="Times New Roman" w:cs="David" w:hint="eastAsia"/>
          <w:sz w:val="18"/>
          <w:szCs w:val="18"/>
          <w:rtl/>
        </w:rPr>
        <w:t>‏י</w:t>
      </w:r>
      <w:r>
        <w:rPr>
          <w:rFonts w:ascii="Times New Roman" w:eastAsia="Times New Roman" w:hAnsi="Times New Roman" w:cs="David"/>
          <w:sz w:val="18"/>
          <w:szCs w:val="18"/>
          <w:rtl/>
        </w:rPr>
        <w:t>"ג כסלו תשפ"ד</w:t>
      </w:r>
    </w:p>
    <w:p w:rsidR="00515986" w:rsidRPr="00C80EEA" w:rsidRDefault="00983123" w:rsidP="00C80EEA">
      <w:pPr>
        <w:spacing w:after="0" w:line="240" w:lineRule="auto"/>
        <w:jc w:val="right"/>
        <w:rPr>
          <w:rFonts w:ascii="Times New Roman" w:eastAsia="Times New Roman" w:hAnsi="Times New Roman" w:cs="David"/>
          <w:sz w:val="24"/>
          <w:szCs w:val="24"/>
          <w:rtl/>
        </w:rPr>
      </w:pP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begin"/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instrText xml:space="preserve"> </w:instrText>
      </w:r>
      <w:r w:rsidRPr="00533226">
        <w:rPr>
          <w:rFonts w:ascii="Times New Roman" w:eastAsia="Times New Roman" w:hAnsi="Times New Roman" w:cs="David"/>
          <w:sz w:val="18"/>
          <w:szCs w:val="18"/>
        </w:rPr>
        <w:instrText>DOCPROPERTY  DocNumber  \* MERGEFORMAT</w:instrTex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instrText xml:space="preserve"> </w:instrTex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separate"/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t>4700-1039-2023-009295</w:t>
      </w:r>
      <w:r w:rsidRPr="00533226">
        <w:rPr>
          <w:rFonts w:ascii="Times New Roman" w:eastAsia="Times New Roman" w:hAnsi="Times New Roman" w:cs="David" w:hint="cs"/>
          <w:sz w:val="18"/>
          <w:szCs w:val="18"/>
          <w:rtl/>
        </w:rPr>
        <w:fldChar w:fldCharType="end"/>
      </w:r>
    </w:p>
    <w:p w:rsidR="00541C9E" w:rsidRPr="000071E5" w:rsidRDefault="00541C9E" w:rsidP="00C80EEA">
      <w:pPr>
        <w:spacing w:after="0" w:line="360" w:lineRule="auto"/>
        <w:jc w:val="center"/>
        <w:rPr>
          <w:rFonts w:ascii="FrankRuehl" w:hAnsi="FrankRuehl" w:cs="FrankRuehl"/>
          <w:b/>
          <w:bCs/>
          <w:color w:val="002060"/>
          <w:sz w:val="32"/>
          <w:szCs w:val="32"/>
          <w:u w:val="single"/>
          <w:rtl/>
        </w:rPr>
      </w:pPr>
      <w:r w:rsidRPr="000071E5">
        <w:rPr>
          <w:rFonts w:ascii="FrankRuehl" w:hAnsi="FrankRuehl" w:cs="FrankRuehl"/>
          <w:b/>
          <w:bCs/>
          <w:color w:val="002060"/>
          <w:sz w:val="32"/>
          <w:szCs w:val="32"/>
          <w:u w:val="single"/>
          <w:rtl/>
        </w:rPr>
        <w:t xml:space="preserve">תקציר </w:t>
      </w:r>
      <w:r w:rsidRPr="000071E5">
        <w:rPr>
          <w:rFonts w:ascii="FrankRuehl" w:hAnsi="FrankRuehl" w:cs="FrankRuehl" w:hint="cs"/>
          <w:b/>
          <w:bCs/>
          <w:color w:val="002060"/>
          <w:sz w:val="32"/>
          <w:szCs w:val="32"/>
          <w:u w:val="single"/>
          <w:rtl/>
        </w:rPr>
        <w:t>הכרעת-דין</w:t>
      </w:r>
    </w:p>
    <w:p w:rsidR="00541C9E" w:rsidRPr="000071E5" w:rsidRDefault="00533226" w:rsidP="00C80EEA">
      <w:pPr>
        <w:spacing w:after="0"/>
        <w:jc w:val="center"/>
        <w:rPr>
          <w:rFonts w:ascii="FrankRuehl" w:hAnsi="FrankRuehl" w:cs="FrankRuehl"/>
          <w:b/>
          <w:bCs/>
          <w:color w:val="002060"/>
          <w:sz w:val="32"/>
          <w:szCs w:val="32"/>
          <w:rtl/>
        </w:rPr>
      </w:pPr>
      <w:r>
        <w:rPr>
          <w:rFonts w:ascii="FrankRuehl" w:hAnsi="FrankRuehl" w:cs="FrankRuehl"/>
          <w:b/>
          <w:bCs/>
          <w:color w:val="002060"/>
          <w:sz w:val="32"/>
          <w:szCs w:val="32"/>
          <w:rtl/>
        </w:rPr>
        <w:t xml:space="preserve">תפ"ח </w:t>
      </w:r>
      <w:r w:rsidRPr="00533226">
        <w:rPr>
          <w:rFonts w:ascii="FrankRuehl" w:hAnsi="FrankRuehl" w:cs="FrankRuehl"/>
          <w:b/>
          <w:bCs/>
          <w:color w:val="002060"/>
          <w:sz w:val="32"/>
          <w:szCs w:val="32"/>
          <w:rtl/>
        </w:rPr>
        <w:t xml:space="preserve">22962-03-21 מדינת ישראל נ' אפיק </w:t>
      </w:r>
      <w:proofErr w:type="spellStart"/>
      <w:r w:rsidRPr="00533226">
        <w:rPr>
          <w:rFonts w:ascii="FrankRuehl" w:hAnsi="FrankRuehl" w:cs="FrankRuehl"/>
          <w:b/>
          <w:bCs/>
          <w:color w:val="002060"/>
          <w:sz w:val="32"/>
          <w:szCs w:val="32"/>
          <w:rtl/>
        </w:rPr>
        <w:t>טויבי</w:t>
      </w:r>
      <w:proofErr w:type="spellEnd"/>
    </w:p>
    <w:p w:rsidR="00541C9E" w:rsidRDefault="00533226" w:rsidP="00C80EEA">
      <w:pPr>
        <w:spacing w:after="0"/>
        <w:jc w:val="center"/>
        <w:rPr>
          <w:rFonts w:ascii="FrankRuehl" w:hAnsi="FrankRuehl" w:cs="FrankRuehl"/>
          <w:b/>
          <w:bCs/>
          <w:color w:val="002060"/>
          <w:sz w:val="32"/>
          <w:szCs w:val="32"/>
          <w:rtl/>
        </w:rPr>
      </w:pPr>
      <w:r>
        <w:rPr>
          <w:rFonts w:ascii="FrankRuehl" w:hAnsi="FrankRuehl" w:cs="FrankRuehl" w:hint="cs"/>
          <w:b/>
          <w:bCs/>
          <w:color w:val="002060"/>
          <w:sz w:val="32"/>
          <w:szCs w:val="32"/>
          <w:rtl/>
        </w:rPr>
        <w:t xml:space="preserve">ביהמ"ש המחוזי בחיפה, אב"ד </w:t>
      </w:r>
      <w:r w:rsidR="00541C9E" w:rsidRPr="000071E5">
        <w:rPr>
          <w:rFonts w:ascii="FrankRuehl" w:hAnsi="FrankRuehl" w:cs="FrankRuehl"/>
          <w:b/>
          <w:bCs/>
          <w:color w:val="002060"/>
          <w:sz w:val="32"/>
          <w:szCs w:val="32"/>
          <w:rtl/>
        </w:rPr>
        <w:t>השופט</w:t>
      </w:r>
      <w:r>
        <w:rPr>
          <w:rFonts w:ascii="FrankRuehl" w:hAnsi="FrankRuehl" w:cs="FrankRuehl" w:hint="cs"/>
          <w:b/>
          <w:bCs/>
          <w:color w:val="002060"/>
          <w:sz w:val="32"/>
          <w:szCs w:val="32"/>
          <w:rtl/>
        </w:rPr>
        <w:t xml:space="preserve"> יחיאל ליפשיץ, השופטת גלית </w:t>
      </w:r>
      <w:proofErr w:type="spellStart"/>
      <w:r>
        <w:rPr>
          <w:rFonts w:ascii="FrankRuehl" w:hAnsi="FrankRuehl" w:cs="FrankRuehl" w:hint="cs"/>
          <w:b/>
          <w:bCs/>
          <w:color w:val="002060"/>
          <w:sz w:val="32"/>
          <w:szCs w:val="32"/>
          <w:rtl/>
        </w:rPr>
        <w:t>ציגלר</w:t>
      </w:r>
      <w:proofErr w:type="spellEnd"/>
      <w:r>
        <w:rPr>
          <w:rFonts w:ascii="FrankRuehl" w:hAnsi="FrankRuehl" w:cs="FrankRuehl" w:hint="cs"/>
          <w:b/>
          <w:bCs/>
          <w:color w:val="002060"/>
          <w:sz w:val="32"/>
          <w:szCs w:val="32"/>
          <w:rtl/>
        </w:rPr>
        <w:t xml:space="preserve">, השופט שמואל </w:t>
      </w:r>
      <w:proofErr w:type="spellStart"/>
      <w:r>
        <w:rPr>
          <w:rFonts w:ascii="FrankRuehl" w:hAnsi="FrankRuehl" w:cs="FrankRuehl" w:hint="cs"/>
          <w:b/>
          <w:bCs/>
          <w:color w:val="002060"/>
          <w:sz w:val="32"/>
          <w:szCs w:val="32"/>
          <w:rtl/>
        </w:rPr>
        <w:t>מנדלבום</w:t>
      </w:r>
      <w:proofErr w:type="spellEnd"/>
      <w:r w:rsidR="00541C9E" w:rsidRPr="000071E5">
        <w:rPr>
          <w:rFonts w:ascii="FrankRuehl" w:hAnsi="FrankRuehl" w:cs="FrankRuehl"/>
          <w:b/>
          <w:bCs/>
          <w:color w:val="002060"/>
          <w:sz w:val="32"/>
          <w:szCs w:val="32"/>
          <w:rtl/>
        </w:rPr>
        <w:t xml:space="preserve"> </w:t>
      </w:r>
    </w:p>
    <w:p w:rsidR="00533226" w:rsidRPr="00C80EEA" w:rsidRDefault="00533226" w:rsidP="00533226">
      <w:pPr>
        <w:spacing w:after="120"/>
        <w:jc w:val="center"/>
        <w:rPr>
          <w:rFonts w:ascii="FrankRuehl" w:hAnsi="FrankRuehl" w:cs="FrankRuehl"/>
          <w:b/>
          <w:bCs/>
          <w:color w:val="002060"/>
          <w:sz w:val="32"/>
          <w:szCs w:val="32"/>
          <w:rtl/>
        </w:rPr>
      </w:pPr>
    </w:p>
    <w:p w:rsidR="00C80EEA" w:rsidRPr="00C80EEA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b/>
          <w:bCs/>
          <w:sz w:val="24"/>
          <w:szCs w:val="24"/>
          <w:rtl/>
        </w:rPr>
      </w:pPr>
      <w:r w:rsidRPr="00C80EEA">
        <w:rPr>
          <w:rFonts w:ascii="David" w:hAnsi="David" w:cs="David" w:hint="cs"/>
          <w:b/>
          <w:bCs/>
          <w:sz w:val="24"/>
          <w:szCs w:val="24"/>
          <w:rtl/>
        </w:rPr>
        <w:t xml:space="preserve">בית המשפט המחוזי בחיפה הרשיע היום, פה אחד, את הנאשם אפיק </w:t>
      </w:r>
      <w:proofErr w:type="spellStart"/>
      <w:r w:rsidRPr="00C80EEA">
        <w:rPr>
          <w:rFonts w:ascii="David" w:hAnsi="David" w:cs="David" w:hint="cs"/>
          <w:b/>
          <w:bCs/>
          <w:sz w:val="24"/>
          <w:szCs w:val="24"/>
          <w:rtl/>
        </w:rPr>
        <w:t>טויבי</w:t>
      </w:r>
      <w:proofErr w:type="spellEnd"/>
      <w:r w:rsidRPr="00C80EEA">
        <w:rPr>
          <w:rFonts w:ascii="David" w:hAnsi="David" w:cs="David" w:hint="cs"/>
          <w:b/>
          <w:bCs/>
          <w:sz w:val="24"/>
          <w:szCs w:val="24"/>
          <w:rtl/>
        </w:rPr>
        <w:t xml:space="preserve">, ששירת ביחידת מג"ב שבסיסה בעכו, בעבירה של המתה בקלות דעת. </w:t>
      </w:r>
    </w:p>
    <w:p w:rsidR="00533226" w:rsidRPr="00533226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ביום 18.2.21 בשעות הערב ירה </w:t>
      </w:r>
      <w:proofErr w:type="spellStart"/>
      <w:r>
        <w:rPr>
          <w:rFonts w:ascii="David" w:hAnsi="David" w:cs="David" w:hint="cs"/>
          <w:sz w:val="24"/>
          <w:szCs w:val="24"/>
          <w:rtl/>
        </w:rPr>
        <w:t>טויבי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למוות בחברו לחדר, לוחם מג"ב נעים מאדי ז"ל.</w:t>
      </w:r>
      <w:r w:rsidRPr="00A41B21">
        <w:rPr>
          <w:rFonts w:ascii="David" w:hAnsi="David" w:cs="David" w:hint="cs"/>
          <w:sz w:val="24"/>
          <w:szCs w:val="24"/>
          <w:rtl/>
        </w:rPr>
        <w:t xml:space="preserve"> הדבר התרחש בעת </w:t>
      </w:r>
      <w:proofErr w:type="spellStart"/>
      <w:r w:rsidRPr="00A41B21">
        <w:rPr>
          <w:rFonts w:ascii="David" w:hAnsi="David" w:cs="David" w:hint="cs"/>
          <w:sz w:val="24"/>
          <w:szCs w:val="24"/>
          <w:rtl/>
        </w:rPr>
        <w:t>שטויבי</w:t>
      </w:r>
      <w:proofErr w:type="spellEnd"/>
      <w:r w:rsidRPr="00A41B21">
        <w:rPr>
          <w:rFonts w:ascii="David" w:hAnsi="David" w:cs="David" w:hint="cs"/>
          <w:sz w:val="24"/>
          <w:szCs w:val="24"/>
          <w:rtl/>
        </w:rPr>
        <w:t xml:space="preserve"> ביצע מה שמכונה לעתים "משחק" באקדח השירות </w:t>
      </w:r>
      <w:r>
        <w:rPr>
          <w:rFonts w:ascii="David" w:hAnsi="David" w:cs="David" w:hint="cs"/>
          <w:sz w:val="24"/>
          <w:szCs w:val="24"/>
          <w:rtl/>
        </w:rPr>
        <w:t xml:space="preserve">שלו, כשהוא עומד סמוך למיטה בה שכב המנוח בחדרם שבבסיס. </w:t>
      </w:r>
    </w:p>
    <w:p w:rsidR="00533226" w:rsidRPr="00533226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  <w:r w:rsidRPr="00A41B21">
        <w:rPr>
          <w:rFonts w:ascii="David" w:hAnsi="David" w:cs="David" w:hint="cs"/>
          <w:sz w:val="24"/>
          <w:szCs w:val="24"/>
          <w:rtl/>
        </w:rPr>
        <w:t>במקור הוגש כתב האישום בעבירה של המתה בקלות דעת</w:t>
      </w:r>
      <w:r>
        <w:rPr>
          <w:rFonts w:ascii="David" w:hAnsi="David" w:cs="David" w:hint="cs"/>
          <w:sz w:val="24"/>
          <w:szCs w:val="24"/>
          <w:rtl/>
        </w:rPr>
        <w:t xml:space="preserve">, ובעקבות פניית משפחת המנוח אל המאשימה, היא החליטה לשנות את כתב האישום וייחסה </w:t>
      </w:r>
      <w:proofErr w:type="spellStart"/>
      <w:r>
        <w:rPr>
          <w:rFonts w:ascii="David" w:hAnsi="David" w:cs="David" w:hint="cs"/>
          <w:sz w:val="24"/>
          <w:szCs w:val="24"/>
          <w:rtl/>
        </w:rPr>
        <w:t>לטויבי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עבירה </w:t>
      </w:r>
      <w:r>
        <w:rPr>
          <w:rFonts w:ascii="David" w:hAnsi="David" w:cs="David" w:hint="cs"/>
          <w:sz w:val="24"/>
          <w:szCs w:val="24"/>
          <w:rtl/>
        </w:rPr>
        <w:t xml:space="preserve">חמורה יותר של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רצח באדישות. </w:t>
      </w:r>
    </w:p>
    <w:p w:rsidR="00C80EEA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בשלביו הראשונים של ההליך הכחיש </w:t>
      </w:r>
      <w:proofErr w:type="spellStart"/>
      <w:r>
        <w:rPr>
          <w:rFonts w:ascii="David" w:hAnsi="David" w:cs="David" w:hint="cs"/>
          <w:sz w:val="24"/>
          <w:szCs w:val="24"/>
          <w:rtl/>
        </w:rPr>
        <w:t>טויבי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כי הוא זה שירה למוות במנוח, אך לאחר שנשמעו </w:t>
      </w:r>
      <w:r w:rsidRPr="00124CF7">
        <w:rPr>
          <w:rFonts w:ascii="David" w:hAnsi="David" w:cs="David" w:hint="cs"/>
          <w:sz w:val="24"/>
          <w:szCs w:val="24"/>
          <w:rtl/>
        </w:rPr>
        <w:t>חלק מעדי המאשימה הוא חזר בו, והודה בירי לעבר נעים מאדי ז"ל. יריעת המחלוקת ה</w:t>
      </w:r>
      <w:r>
        <w:rPr>
          <w:rFonts w:ascii="David" w:hAnsi="David" w:cs="David" w:hint="cs"/>
          <w:sz w:val="24"/>
          <w:szCs w:val="24"/>
          <w:rtl/>
        </w:rPr>
        <w:t xml:space="preserve">עיקרית </w:t>
      </w:r>
      <w:r w:rsidR="00C80EEA">
        <w:rPr>
          <w:rFonts w:ascii="David" w:hAnsi="David" w:cs="David" w:hint="cs"/>
          <w:sz w:val="24"/>
          <w:szCs w:val="24"/>
          <w:rtl/>
        </w:rPr>
        <w:t>היית</w:t>
      </w:r>
      <w:r w:rsidR="00C80EEA">
        <w:rPr>
          <w:rFonts w:ascii="David" w:hAnsi="David" w:cs="David" w:hint="eastAsia"/>
          <w:sz w:val="24"/>
          <w:szCs w:val="24"/>
          <w:rtl/>
        </w:rPr>
        <w:t>ה</w:t>
      </w:r>
      <w:r>
        <w:rPr>
          <w:rFonts w:ascii="David" w:hAnsi="David" w:cs="David" w:hint="cs"/>
          <w:sz w:val="24"/>
          <w:szCs w:val="24"/>
          <w:rtl/>
        </w:rPr>
        <w:t xml:space="preserve"> האם יש להרשיע את הנאשם בעבירה של המתה בקלות דעת או של רצח באדישות.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בית המשפט בחן את כלל ראיות הצדדים, וכן התייחס לאחת מטענותיה המרכזיות של המאשימה ולפיה במהלך ה"משחק" </w:t>
      </w:r>
      <w:proofErr w:type="spellStart"/>
      <w:r w:rsidRPr="00A41B21">
        <w:rPr>
          <w:rFonts w:ascii="David" w:hAnsi="David" w:cs="David" w:hint="cs"/>
          <w:sz w:val="24"/>
          <w:szCs w:val="24"/>
          <w:rtl/>
        </w:rPr>
        <w:t>טויבי</w:t>
      </w:r>
      <w:proofErr w:type="spellEnd"/>
      <w:r w:rsidRPr="00A41B21">
        <w:rPr>
          <w:rFonts w:ascii="David" w:hAnsi="David" w:cs="David" w:hint="cs"/>
          <w:sz w:val="24"/>
          <w:szCs w:val="24"/>
          <w:rtl/>
        </w:rPr>
        <w:t xml:space="preserve"> </w:t>
      </w:r>
      <w:r w:rsidRPr="00A41B21">
        <w:rPr>
          <w:rFonts w:ascii="David" w:hAnsi="David" w:cs="David"/>
          <w:sz w:val="24"/>
          <w:szCs w:val="24"/>
          <w:rtl/>
        </w:rPr>
        <w:t>לחץ על תפס המחסנית, הוציאה מעט ממקומה, בניסיון שכך לא ייגרף כדור אל בית הבליעה, דרך את האקדח</w:t>
      </w:r>
      <w:r w:rsidRPr="00A41B21">
        <w:rPr>
          <w:rFonts w:ascii="David" w:hAnsi="David" w:cs="David" w:hint="cs"/>
          <w:sz w:val="24"/>
          <w:szCs w:val="24"/>
          <w:rtl/>
        </w:rPr>
        <w:t xml:space="preserve">, ואז לחץ על ההדק </w:t>
      </w:r>
      <w:r w:rsidRPr="00A41B21">
        <w:rPr>
          <w:rFonts w:ascii="David" w:hAnsi="David" w:cs="David"/>
          <w:sz w:val="24"/>
          <w:szCs w:val="24"/>
          <w:rtl/>
        </w:rPr>
        <w:t>–</w:t>
      </w:r>
      <w:r w:rsidRPr="00A41B21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 xml:space="preserve">מה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שהוביל לירי לעבר המנוח. </w:t>
      </w:r>
    </w:p>
    <w:p w:rsidR="00C80EEA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  <w:r w:rsidRPr="00A41B21">
        <w:rPr>
          <w:rFonts w:ascii="David" w:hAnsi="David" w:cs="David" w:hint="cs"/>
          <w:sz w:val="24"/>
          <w:szCs w:val="24"/>
          <w:rtl/>
        </w:rPr>
        <w:t>נקבע כי תרחיש זה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>–</w:t>
      </w:r>
      <w:r>
        <w:rPr>
          <w:rFonts w:ascii="David" w:hAnsi="David" w:cs="David" w:hint="cs"/>
          <w:sz w:val="24"/>
          <w:szCs w:val="24"/>
          <w:rtl/>
        </w:rPr>
        <w:t xml:space="preserve"> שכאמור תואר על ידי המאשימה בכתב האישום - מתאים יותר ל</w:t>
      </w:r>
      <w:r w:rsidRPr="00A41B21">
        <w:rPr>
          <w:rFonts w:ascii="David" w:hAnsi="David" w:cs="David" w:hint="cs"/>
          <w:sz w:val="24"/>
          <w:szCs w:val="24"/>
          <w:rtl/>
        </w:rPr>
        <w:t xml:space="preserve">מסקנה כי התקיים </w:t>
      </w:r>
      <w:r>
        <w:rPr>
          <w:rFonts w:ascii="David" w:hAnsi="David" w:cs="David" w:hint="cs"/>
          <w:sz w:val="24"/>
          <w:szCs w:val="24"/>
          <w:rtl/>
        </w:rPr>
        <w:t>אצל ה</w:t>
      </w:r>
      <w:r w:rsidRPr="00A41B21">
        <w:rPr>
          <w:rFonts w:ascii="David" w:hAnsi="David" w:cs="David" w:hint="cs"/>
          <w:sz w:val="24"/>
          <w:szCs w:val="24"/>
          <w:rtl/>
        </w:rPr>
        <w:t>נאשם יסוד נפשי של קלות דעת</w:t>
      </w:r>
      <w:r>
        <w:rPr>
          <w:rFonts w:ascii="David" w:hAnsi="David" w:cs="David" w:hint="cs"/>
          <w:sz w:val="24"/>
          <w:szCs w:val="24"/>
          <w:rtl/>
        </w:rPr>
        <w:t xml:space="preserve">, מאשר של </w:t>
      </w:r>
      <w:r w:rsidRPr="00A41B21">
        <w:rPr>
          <w:rFonts w:ascii="David" w:hAnsi="David" w:cs="David" w:hint="cs"/>
          <w:sz w:val="24"/>
          <w:szCs w:val="24"/>
          <w:rtl/>
        </w:rPr>
        <w:t>אדישות. בנוסף, הובאו נימוקים נוספים</w:t>
      </w:r>
      <w:r>
        <w:rPr>
          <w:rFonts w:ascii="David" w:hAnsi="David" w:cs="David" w:hint="cs"/>
          <w:sz w:val="24"/>
          <w:szCs w:val="24"/>
          <w:rtl/>
        </w:rPr>
        <w:t>, עובדתיים ומשפטיים,</w:t>
      </w:r>
      <w:r w:rsidRPr="00A41B21">
        <w:rPr>
          <w:rFonts w:ascii="David" w:hAnsi="David" w:cs="David" w:hint="cs"/>
          <w:sz w:val="24"/>
          <w:szCs w:val="24"/>
          <w:rtl/>
        </w:rPr>
        <w:t xml:space="preserve"> למסקנת בית המשפט. </w:t>
      </w:r>
    </w:p>
    <w:p w:rsidR="00533226" w:rsidRPr="00533226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עוד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הורשע </w:t>
      </w:r>
      <w:proofErr w:type="spellStart"/>
      <w:r w:rsidRPr="00A41B21">
        <w:rPr>
          <w:rFonts w:ascii="David" w:hAnsi="David" w:cs="David" w:hint="cs"/>
          <w:sz w:val="24"/>
          <w:szCs w:val="24"/>
          <w:rtl/>
        </w:rPr>
        <w:t>טויבי</w:t>
      </w:r>
      <w:proofErr w:type="spellEnd"/>
      <w:r w:rsidRPr="00A41B21">
        <w:rPr>
          <w:rFonts w:ascii="David" w:hAnsi="David" w:cs="David" w:hint="cs"/>
          <w:sz w:val="24"/>
          <w:szCs w:val="24"/>
          <w:rtl/>
        </w:rPr>
        <w:t xml:space="preserve"> בהקשר לאירוע לעיל</w:t>
      </w:r>
      <w:r>
        <w:rPr>
          <w:rFonts w:ascii="David" w:hAnsi="David" w:cs="David" w:hint="cs"/>
          <w:sz w:val="24"/>
          <w:szCs w:val="24"/>
          <w:rtl/>
        </w:rPr>
        <w:t>,</w:t>
      </w:r>
      <w:r w:rsidRPr="00A41B21">
        <w:rPr>
          <w:rFonts w:ascii="David" w:hAnsi="David" w:cs="David" w:hint="cs"/>
          <w:sz w:val="24"/>
          <w:szCs w:val="24"/>
          <w:rtl/>
        </w:rPr>
        <w:t xml:space="preserve"> בעבירה של שיבוש מהלכי משפט</w:t>
      </w:r>
      <w:r>
        <w:rPr>
          <w:rFonts w:ascii="David" w:hAnsi="David" w:cs="David" w:hint="cs"/>
          <w:sz w:val="24"/>
          <w:szCs w:val="24"/>
          <w:rtl/>
        </w:rPr>
        <w:t xml:space="preserve">, וזאת בנוגע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לפעולות שביצע מיד לאחר שירה למוות במנוח ושנועדו להביא </w:t>
      </w:r>
      <w:r>
        <w:rPr>
          <w:rFonts w:ascii="David" w:hAnsi="David" w:cs="David" w:hint="cs"/>
          <w:sz w:val="24"/>
          <w:szCs w:val="24"/>
          <w:rtl/>
        </w:rPr>
        <w:t xml:space="preserve">את רשויות החקירה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למסקנה </w:t>
      </w:r>
      <w:r>
        <w:rPr>
          <w:rFonts w:ascii="David" w:hAnsi="David" w:cs="David" w:hint="cs"/>
          <w:sz w:val="24"/>
          <w:szCs w:val="24"/>
          <w:rtl/>
        </w:rPr>
        <w:t xml:space="preserve">הכוזבת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ולפיה המנוח התאבד. </w:t>
      </w:r>
    </w:p>
    <w:p w:rsidR="00533226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  <w:proofErr w:type="spellStart"/>
      <w:r>
        <w:rPr>
          <w:rFonts w:ascii="David" w:hAnsi="David" w:cs="David" w:hint="cs"/>
          <w:sz w:val="24"/>
          <w:szCs w:val="24"/>
          <w:rtl/>
        </w:rPr>
        <w:t>לטויבי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</w:t>
      </w:r>
      <w:r w:rsidRPr="00A41B21">
        <w:rPr>
          <w:rFonts w:ascii="David" w:hAnsi="David" w:cs="David" w:hint="cs"/>
          <w:sz w:val="24"/>
          <w:szCs w:val="24"/>
          <w:rtl/>
        </w:rPr>
        <w:t>יוחס אישום נוסף</w:t>
      </w:r>
      <w:r>
        <w:rPr>
          <w:rFonts w:ascii="David" w:hAnsi="David" w:cs="David" w:hint="cs"/>
          <w:sz w:val="24"/>
          <w:szCs w:val="24"/>
          <w:rtl/>
        </w:rPr>
        <w:t xml:space="preserve">, </w:t>
      </w:r>
      <w:r w:rsidRPr="00A41B21">
        <w:rPr>
          <w:rFonts w:ascii="David" w:hAnsi="David" w:cs="David" w:hint="cs"/>
          <w:sz w:val="24"/>
          <w:szCs w:val="24"/>
          <w:rtl/>
        </w:rPr>
        <w:t xml:space="preserve">בו פורטו מקרים רבים בהם </w:t>
      </w:r>
      <w:r>
        <w:rPr>
          <w:rFonts w:ascii="David" w:hAnsi="David" w:cs="David" w:hint="cs"/>
          <w:sz w:val="24"/>
          <w:szCs w:val="24"/>
          <w:rtl/>
        </w:rPr>
        <w:t>כיוון את אקדחו לעבר חבריו ליחידה, איים עליהם וכן תקף אותם, והכל בחודשים טרם האירוע בו ירה במנוח למוות</w:t>
      </w:r>
      <w:r w:rsidRPr="00A41B21">
        <w:rPr>
          <w:rFonts w:ascii="David" w:hAnsi="David" w:cs="David" w:hint="cs"/>
          <w:sz w:val="24"/>
          <w:szCs w:val="24"/>
          <w:rtl/>
        </w:rPr>
        <w:t xml:space="preserve">. </w:t>
      </w:r>
      <w:proofErr w:type="spellStart"/>
      <w:r w:rsidRPr="00A41B21">
        <w:rPr>
          <w:rFonts w:ascii="David" w:hAnsi="David" w:cs="David" w:hint="cs"/>
          <w:sz w:val="24"/>
          <w:szCs w:val="24"/>
          <w:rtl/>
        </w:rPr>
        <w:t>טויבי</w:t>
      </w:r>
      <w:proofErr w:type="spellEnd"/>
      <w:r w:rsidRPr="00A41B21">
        <w:rPr>
          <w:rFonts w:ascii="David" w:hAnsi="David" w:cs="David" w:hint="cs"/>
          <w:sz w:val="24"/>
          <w:szCs w:val="24"/>
          <w:rtl/>
        </w:rPr>
        <w:t xml:space="preserve"> הודה במיוחס לו בהקשר זה והורשע על פי הודייתו בעבירות של </w:t>
      </w:r>
      <w:r w:rsidRPr="00A41B21">
        <w:rPr>
          <w:rFonts w:ascii="David" w:hAnsi="David" w:cs="David"/>
          <w:sz w:val="24"/>
          <w:szCs w:val="24"/>
          <w:rtl/>
        </w:rPr>
        <w:t>איומים</w:t>
      </w:r>
      <w:r>
        <w:rPr>
          <w:rFonts w:ascii="David" w:hAnsi="David" w:cs="David" w:hint="cs"/>
          <w:sz w:val="24"/>
          <w:szCs w:val="24"/>
          <w:rtl/>
        </w:rPr>
        <w:t>,</w:t>
      </w:r>
      <w:r w:rsidRPr="00A41B21">
        <w:rPr>
          <w:rFonts w:ascii="David" w:hAnsi="David" w:cs="David" w:hint="cs"/>
          <w:sz w:val="24"/>
          <w:szCs w:val="24"/>
          <w:rtl/>
        </w:rPr>
        <w:t xml:space="preserve"> </w:t>
      </w:r>
      <w:r w:rsidRPr="00A41B21">
        <w:rPr>
          <w:rFonts w:ascii="David" w:hAnsi="David" w:cs="David"/>
          <w:sz w:val="24"/>
          <w:szCs w:val="24"/>
          <w:rtl/>
        </w:rPr>
        <w:t>מעש</w:t>
      </w:r>
      <w:r>
        <w:rPr>
          <w:rFonts w:ascii="David" w:hAnsi="David" w:cs="David" w:hint="cs"/>
          <w:sz w:val="24"/>
          <w:szCs w:val="24"/>
          <w:rtl/>
        </w:rPr>
        <w:t>י</w:t>
      </w:r>
      <w:r w:rsidRPr="00A41B21">
        <w:rPr>
          <w:rFonts w:ascii="David" w:hAnsi="David" w:cs="David"/>
          <w:sz w:val="24"/>
          <w:szCs w:val="24"/>
          <w:rtl/>
        </w:rPr>
        <w:t xml:space="preserve"> פזיזות </w:t>
      </w:r>
      <w:r>
        <w:rPr>
          <w:rFonts w:ascii="David" w:hAnsi="David" w:cs="David" w:hint="cs"/>
          <w:sz w:val="24"/>
          <w:szCs w:val="24"/>
          <w:rtl/>
        </w:rPr>
        <w:t>בנשק</w:t>
      </w:r>
      <w:r w:rsidRPr="00A41B21">
        <w:rPr>
          <w:rFonts w:ascii="David" w:hAnsi="David" w:cs="David"/>
          <w:sz w:val="24"/>
          <w:szCs w:val="24"/>
          <w:rtl/>
        </w:rPr>
        <w:t xml:space="preserve"> </w:t>
      </w:r>
      <w:r w:rsidRPr="00A41B21">
        <w:rPr>
          <w:rFonts w:ascii="David" w:hAnsi="David" w:cs="David" w:hint="cs"/>
          <w:sz w:val="24"/>
          <w:szCs w:val="24"/>
          <w:rtl/>
        </w:rPr>
        <w:t>ו</w:t>
      </w:r>
      <w:r w:rsidRPr="00A41B21">
        <w:rPr>
          <w:rFonts w:ascii="David" w:hAnsi="David" w:cs="David"/>
          <w:sz w:val="24"/>
          <w:szCs w:val="24"/>
          <w:rtl/>
        </w:rPr>
        <w:t xml:space="preserve">תקיפה. </w:t>
      </w:r>
    </w:p>
    <w:p w:rsidR="00533226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  <w:rtl/>
        </w:rPr>
      </w:pPr>
    </w:p>
    <w:p w:rsidR="00533226" w:rsidRPr="00A41B21" w:rsidRDefault="00533226" w:rsidP="00533226">
      <w:pPr>
        <w:pStyle w:val="a9"/>
        <w:spacing w:after="0" w:line="360" w:lineRule="auto"/>
        <w:ind w:left="360"/>
        <w:jc w:val="both"/>
        <w:rPr>
          <w:rFonts w:ascii="David" w:hAnsi="David" w:cs="David"/>
          <w:sz w:val="24"/>
          <w:szCs w:val="24"/>
        </w:rPr>
      </w:pPr>
    </w:p>
    <w:p w:rsidR="00541C9E" w:rsidRPr="000071E5" w:rsidRDefault="00541C9E" w:rsidP="00541C9E">
      <w:pPr>
        <w:spacing w:after="120" w:line="360" w:lineRule="auto"/>
        <w:jc w:val="center"/>
        <w:rPr>
          <w:rFonts w:ascii="FrankRuehl" w:hAnsi="FrankRuehl" w:cs="FrankRuehl"/>
          <w:b/>
          <w:bCs/>
          <w:color w:val="002060"/>
          <w:sz w:val="26"/>
          <w:szCs w:val="26"/>
        </w:rPr>
      </w:pP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 xml:space="preserve">*** </w:t>
      </w:r>
      <w:r w:rsidRPr="000071E5">
        <w:rPr>
          <w:rFonts w:ascii="FrankRuehl" w:hAnsi="FrankRuehl" w:cs="FrankRuehl"/>
          <w:b/>
          <w:bCs/>
          <w:color w:val="002060"/>
          <w:sz w:val="26"/>
          <w:szCs w:val="26"/>
          <w:rtl/>
        </w:rPr>
        <w:t>התקציר אינו בא להחליף את פסק</w:t>
      </w: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>-</w:t>
      </w:r>
      <w:r w:rsidRPr="000071E5">
        <w:rPr>
          <w:rFonts w:ascii="FrankRuehl" w:hAnsi="FrankRuehl" w:cs="FrankRuehl"/>
          <w:b/>
          <w:bCs/>
          <w:color w:val="002060"/>
          <w:sz w:val="26"/>
          <w:szCs w:val="26"/>
          <w:rtl/>
        </w:rPr>
        <w:t>הדין, הנוסח המחייב הוא זה של פסק-הדין המלא</w:t>
      </w: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 xml:space="preserve"> ***</w:t>
      </w:r>
    </w:p>
    <w:p w:rsidR="00515986" w:rsidRDefault="00515986" w:rsidP="000C4D75">
      <w:pPr>
        <w:tabs>
          <w:tab w:val="num" w:pos="1080"/>
        </w:tabs>
        <w:spacing w:after="0" w:line="276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</w:rPr>
      </w:pPr>
    </w:p>
    <w:p w:rsidR="00515986" w:rsidRDefault="00515986" w:rsidP="000C4D75">
      <w:pPr>
        <w:tabs>
          <w:tab w:val="num" w:pos="1080"/>
        </w:tabs>
        <w:spacing w:after="0" w:line="276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</w:rPr>
      </w:pPr>
    </w:p>
    <w:sectPr w:rsidR="00515986" w:rsidSect="00B16422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CA1" w:rsidRDefault="00730CA1" w:rsidP="00730CA1">
      <w:pPr>
        <w:spacing w:after="0" w:line="240" w:lineRule="auto"/>
      </w:pPr>
      <w:r>
        <w:separator/>
      </w:r>
    </w:p>
  </w:endnote>
  <w:endnote w:type="continuationSeparator" w:id="0">
    <w:p w:rsidR="00730CA1" w:rsidRDefault="00730CA1" w:rsidP="0073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C9E" w:rsidRPr="003C61AF" w:rsidRDefault="00541C9E" w:rsidP="00541C9E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</w:pP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  <w:t>________________________________________________________________</w:t>
    </w:r>
  </w:p>
  <w:p w:rsidR="00541C9E" w:rsidRPr="003C61AF" w:rsidRDefault="00541C9E" w:rsidP="00541C9E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</w:pPr>
    <w:r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בית משפט העליון | רחוב דרך השופט מאיר שמגר 1 | </w:t>
    </w:r>
    <w:proofErr w:type="spellStart"/>
    <w:r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>קרית</w:t>
    </w:r>
    <w:proofErr w:type="spellEnd"/>
    <w:r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בן גוריון |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ירושלים</w:t>
    </w:r>
  </w:p>
  <w:p w:rsidR="003C61AF" w:rsidRPr="00541C9E" w:rsidRDefault="00541C9E" w:rsidP="00541C9E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</w:pP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טל: </w:t>
    </w: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  <w:t>074-7480412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         </w:t>
    </w:r>
    <w:r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   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 </w:t>
    </w:r>
    <w:r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         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דוא"ל</w:t>
    </w: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  <w:t>: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</w:t>
    </w:r>
    <w:hyperlink r:id="rId1" w:history="1">
      <w:r w:rsidRPr="003C61AF">
        <w:rPr>
          <w:rFonts w:ascii="Times New Roman" w:eastAsia="Times New Roman" w:hAnsi="Times New Roman" w:cs="FrankRuehl"/>
          <w:b/>
          <w:bCs/>
          <w:color w:val="0000FF"/>
          <w:spacing w:val="6"/>
          <w:sz w:val="24"/>
          <w:szCs w:val="24"/>
          <w:u w:val="single"/>
        </w:rPr>
        <w:t>Dover@court.gov.il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CA1" w:rsidRDefault="00730CA1" w:rsidP="00730CA1">
      <w:pPr>
        <w:spacing w:after="0" w:line="240" w:lineRule="auto"/>
      </w:pPr>
      <w:r>
        <w:separator/>
      </w:r>
    </w:p>
  </w:footnote>
  <w:footnote w:type="continuationSeparator" w:id="0">
    <w:p w:rsidR="00730CA1" w:rsidRDefault="00730CA1" w:rsidP="00730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3B2" w:rsidRPr="005253B2" w:rsidRDefault="005253B2" w:rsidP="005253B2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David"/>
        <w:sz w:val="20"/>
        <w:szCs w:val="24"/>
        <w:lang w:eastAsia="he-IL"/>
      </w:rPr>
    </w:pPr>
    <w:r w:rsidRPr="005253B2">
      <w:rPr>
        <w:rFonts w:ascii="Times New Roman" w:eastAsia="Times New Roman" w:hAnsi="Times New Roman" w:cs="David"/>
        <w:noProof/>
        <w:sz w:val="20"/>
        <w:szCs w:val="24"/>
      </w:rPr>
      <w:drawing>
        <wp:inline distT="0" distB="0" distL="0" distR="0">
          <wp:extent cx="523875" cy="619125"/>
          <wp:effectExtent l="0" t="0" r="9525" b="9525"/>
          <wp:docPr id="1" name="תמונה 2" descr="תיאור: sem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תיאור: sem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53B2">
      <w:rPr>
        <w:rFonts w:ascii="Century" w:eastAsia="Times New Roman" w:hAnsi="Century" w:cs="FrankRuehl" w:hint="cs"/>
        <w:noProof/>
        <w:spacing w:val="10"/>
        <w:sz w:val="20"/>
        <w:szCs w:val="28"/>
        <w:rtl/>
        <w:lang w:eastAsia="he-IL"/>
      </w:rPr>
      <w:t xml:space="preserve">                                            </w:t>
    </w:r>
  </w:p>
  <w:p w:rsidR="005253B2" w:rsidRPr="005253B2" w:rsidRDefault="005253B2" w:rsidP="005253B2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8"/>
        <w:szCs w:val="28"/>
        <w:rtl/>
        <w:lang w:eastAsia="he-IL"/>
      </w:rPr>
    </w:pPr>
    <w:r w:rsidRPr="005253B2">
      <w:rPr>
        <w:rFonts w:ascii="Times New Roman" w:eastAsia="Times New Roman" w:hAnsi="Times New Roman" w:cs="FrankRuehl" w:hint="cs"/>
        <w:b/>
        <w:bCs/>
        <w:color w:val="000080"/>
        <w:spacing w:val="6"/>
        <w:sz w:val="28"/>
        <w:szCs w:val="28"/>
        <w:rtl/>
        <w:lang w:eastAsia="he-IL"/>
      </w:rPr>
      <w:t>מערכת בתי המשפט</w:t>
    </w:r>
  </w:p>
  <w:p w:rsidR="007007D7" w:rsidRPr="005253B2" w:rsidRDefault="005253B2" w:rsidP="005253B2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8"/>
        <w:szCs w:val="28"/>
        <w:lang w:eastAsia="he-IL"/>
      </w:rPr>
    </w:pPr>
    <w:r w:rsidRPr="005253B2">
      <w:rPr>
        <w:rFonts w:ascii="Times New Roman" w:eastAsia="Times New Roman" w:hAnsi="Times New Roman" w:cs="FrankRuehl" w:hint="cs"/>
        <w:b/>
        <w:bCs/>
        <w:color w:val="000080"/>
        <w:spacing w:val="6"/>
        <w:sz w:val="28"/>
        <w:szCs w:val="28"/>
        <w:rtl/>
        <w:lang w:eastAsia="he-IL"/>
      </w:rPr>
      <w:t>דוברות והסברה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B27"/>
    <w:multiLevelType w:val="multilevel"/>
    <w:tmpl w:val="2EA02F4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Cs w:val="0"/>
        <w:iCs w:val="0"/>
        <w:szCs w:val="24"/>
      </w:rPr>
    </w:lvl>
    <w:lvl w:ilvl="1">
      <w:start w:val="1"/>
      <w:numFmt w:val="hebrew1"/>
      <w:lvlText w:val="%2."/>
      <w:lvlJc w:val="left"/>
      <w:pPr>
        <w:tabs>
          <w:tab w:val="num" w:pos="907"/>
        </w:tabs>
        <w:ind w:left="908" w:hanging="454"/>
      </w:pPr>
      <w:rPr>
        <w:rFonts w:cs="David" w:hint="cs"/>
        <w:bCs w:val="0"/>
        <w:iCs w:val="0"/>
        <w:szCs w:val="26"/>
      </w:rPr>
    </w:lvl>
    <w:lvl w:ilvl="2">
      <w:start w:val="1"/>
      <w:numFmt w:val="decimal"/>
      <w:lvlText w:val="(%3)"/>
      <w:lvlJc w:val="left"/>
      <w:pPr>
        <w:tabs>
          <w:tab w:val="num" w:pos="1361"/>
        </w:tabs>
        <w:ind w:left="1362" w:hanging="454"/>
      </w:pPr>
      <w:rPr>
        <w:rFonts w:ascii="Times New Roman" w:hAnsi="Times New Roman" w:cs="David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CF"/>
    <w:rsid w:val="000011AE"/>
    <w:rsid w:val="00025761"/>
    <w:rsid w:val="000C4D75"/>
    <w:rsid w:val="001D42A7"/>
    <w:rsid w:val="002453CF"/>
    <w:rsid w:val="002C0E83"/>
    <w:rsid w:val="003921C3"/>
    <w:rsid w:val="00392EB3"/>
    <w:rsid w:val="003C61AF"/>
    <w:rsid w:val="003E6E39"/>
    <w:rsid w:val="003E7EB7"/>
    <w:rsid w:val="00426AA7"/>
    <w:rsid w:val="00515986"/>
    <w:rsid w:val="005253B2"/>
    <w:rsid w:val="00533226"/>
    <w:rsid w:val="00541C9E"/>
    <w:rsid w:val="00631744"/>
    <w:rsid w:val="00690B6F"/>
    <w:rsid w:val="006B7B96"/>
    <w:rsid w:val="006C3B1F"/>
    <w:rsid w:val="006F1E1F"/>
    <w:rsid w:val="007007D7"/>
    <w:rsid w:val="00711675"/>
    <w:rsid w:val="00730CA1"/>
    <w:rsid w:val="007B7899"/>
    <w:rsid w:val="00832AD7"/>
    <w:rsid w:val="008C02E0"/>
    <w:rsid w:val="00983123"/>
    <w:rsid w:val="009E5C0E"/>
    <w:rsid w:val="00A955CE"/>
    <w:rsid w:val="00AD7644"/>
    <w:rsid w:val="00B16422"/>
    <w:rsid w:val="00B22AFC"/>
    <w:rsid w:val="00BA3143"/>
    <w:rsid w:val="00C22E08"/>
    <w:rsid w:val="00C37F37"/>
    <w:rsid w:val="00C50C55"/>
    <w:rsid w:val="00C529CC"/>
    <w:rsid w:val="00C74AEB"/>
    <w:rsid w:val="00C80EEA"/>
    <w:rsid w:val="00C842A7"/>
    <w:rsid w:val="00C85A27"/>
    <w:rsid w:val="00CA2D6A"/>
    <w:rsid w:val="00CB4940"/>
    <w:rsid w:val="00CD280B"/>
    <w:rsid w:val="00D11F77"/>
    <w:rsid w:val="00D205AB"/>
    <w:rsid w:val="00D43C0E"/>
    <w:rsid w:val="00D5319F"/>
    <w:rsid w:val="00E35DF3"/>
    <w:rsid w:val="00EB6609"/>
    <w:rsid w:val="00F46250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43B57-6867-4F06-9DF1-55588D3D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AA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basedOn w:val="a0"/>
    <w:link w:val="a3"/>
    <w:uiPriority w:val="99"/>
    <w:semiHidden/>
    <w:rsid w:val="00426AA7"/>
    <w:rPr>
      <w:rFonts w:ascii="Tahoma" w:hAnsi="Tahoma" w:cs="Tahoma"/>
      <w:sz w:val="18"/>
      <w:szCs w:val="18"/>
    </w:rPr>
  </w:style>
  <w:style w:type="character" w:styleId="Hyperlink">
    <w:name w:val="Hyperlink"/>
    <w:basedOn w:val="a0"/>
    <w:uiPriority w:val="99"/>
    <w:unhideWhenUsed/>
    <w:rsid w:val="00E35DF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0C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730CA1"/>
  </w:style>
  <w:style w:type="paragraph" w:styleId="a7">
    <w:name w:val="footer"/>
    <w:basedOn w:val="a"/>
    <w:link w:val="a8"/>
    <w:uiPriority w:val="99"/>
    <w:unhideWhenUsed/>
    <w:rsid w:val="00730C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730CA1"/>
  </w:style>
  <w:style w:type="paragraph" w:styleId="a9">
    <w:name w:val="List Paragraph"/>
    <w:basedOn w:val="a"/>
    <w:link w:val="aa"/>
    <w:uiPriority w:val="34"/>
    <w:qFormat/>
    <w:rsid w:val="00533226"/>
    <w:pPr>
      <w:ind w:left="720"/>
      <w:contextualSpacing/>
    </w:pPr>
  </w:style>
  <w:style w:type="character" w:customStyle="1" w:styleId="aa">
    <w:name w:val="פיסקת רשימה תו"/>
    <w:basedOn w:val="a0"/>
    <w:link w:val="a9"/>
    <w:uiPriority w:val="34"/>
    <w:locked/>
    <w:rsid w:val="00533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over@court.gov.i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8556D7C-5FF1-4B44-83D5-54066FF8A84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1690</Characters>
  <Application>Microsoft Office Word</Application>
  <DocSecurity>4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court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נירית לזימי</dc:creator>
  <cp:keywords/>
  <dc:description/>
  <cp:lastModifiedBy>גרמאו מנגיסטו</cp:lastModifiedBy>
  <cp:revision>2</cp:revision>
  <cp:lastPrinted>2017-11-13T12:38:00Z</cp:lastPrinted>
  <dcterms:created xsi:type="dcterms:W3CDTF">2023-11-29T07:43:00Z</dcterms:created>
  <dcterms:modified xsi:type="dcterms:W3CDTF">2023-11-29T07:43:00Z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ateEng">
    <vt:lpwstr>22 בנובמבר 2023</vt:lpwstr>
  </property>
  <property fmtid="{D5CDD505-2E9C-101B-9397-08002B2CF9AE}" pid="3" name="DocDateHeb">
    <vt:lpwstr>ט' בכסלו תשפ"ד</vt:lpwstr>
  </property>
  <property fmtid="{D5CDD505-2E9C-101B-9397-08002B2CF9AE}" pid="4" name="DocNumber">
    <vt:lpwstr>4700-1039-2023-009295</vt:lpwstr>
  </property>
  <property fmtid="{D5CDD505-2E9C-101B-9397-08002B2CF9AE}" pid="5" name="DocRecipientsName">
    <vt:lpwstr/>
  </property>
  <property fmtid="{D5CDD505-2E9C-101B-9397-08002B2CF9AE}" pid="6" name="DocToName">
    <vt:lpwstr/>
  </property>
  <property fmtid="{D5CDD505-2E9C-101B-9397-08002B2CF9AE}" pid="7" name="DocObjectName">
    <vt:lpwstr>תפ"ח 22962-03-21 מדינת ישראל נ' אפיק טויבי</vt:lpwstr>
  </property>
</Properties>
</file>